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43" w:rsidRPr="00870641" w:rsidRDefault="00E263F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Муниципальное автономное учреж</w:t>
      </w:r>
      <w:r w:rsidR="00421B42">
        <w:rPr>
          <w:sz w:val="28"/>
          <w:szCs w:val="28"/>
        </w:rPr>
        <w:t>дение культуры «Межпоселенческий культурно-просветительский центр</w:t>
      </w:r>
      <w:r>
        <w:rPr>
          <w:sz w:val="28"/>
          <w:szCs w:val="28"/>
        </w:rPr>
        <w:t xml:space="preserve"> Киришского муниципального района»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641">
        <w:rPr>
          <w:sz w:val="28"/>
          <w:szCs w:val="28"/>
        </w:rPr>
        <w:t>Принято на зас</w:t>
      </w:r>
      <w:r w:rsidR="00421B42">
        <w:rPr>
          <w:sz w:val="28"/>
          <w:szCs w:val="28"/>
        </w:rPr>
        <w:t>едании Наблюдательного совета 29</w:t>
      </w:r>
      <w:r w:rsidR="00E263F3">
        <w:rPr>
          <w:sz w:val="28"/>
          <w:szCs w:val="28"/>
        </w:rPr>
        <w:t>.0</w:t>
      </w:r>
      <w:r w:rsidR="00421B42">
        <w:rPr>
          <w:sz w:val="28"/>
          <w:szCs w:val="28"/>
        </w:rPr>
        <w:t>4</w:t>
      </w:r>
      <w:r w:rsidR="00E263F3">
        <w:rPr>
          <w:sz w:val="28"/>
          <w:szCs w:val="28"/>
        </w:rPr>
        <w:t>.201</w:t>
      </w:r>
      <w:r w:rsidR="00421B42">
        <w:rPr>
          <w:sz w:val="28"/>
          <w:szCs w:val="28"/>
        </w:rPr>
        <w:t>9</w:t>
      </w:r>
      <w:r w:rsidRPr="00870641">
        <w:rPr>
          <w:sz w:val="28"/>
          <w:szCs w:val="28"/>
        </w:rPr>
        <w:t xml:space="preserve">г. № </w:t>
      </w:r>
      <w:r w:rsidR="00421B42">
        <w:rPr>
          <w:sz w:val="28"/>
          <w:szCs w:val="28"/>
        </w:rPr>
        <w:t>1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3F3" w:rsidRPr="00E263F3" w:rsidRDefault="00F63643" w:rsidP="00E263F3">
      <w:pPr>
        <w:rPr>
          <w:sz w:val="28"/>
          <w:szCs w:val="28"/>
        </w:rPr>
      </w:pPr>
      <w:r w:rsidRPr="00870641">
        <w:rPr>
          <w:sz w:val="28"/>
          <w:szCs w:val="28"/>
        </w:rPr>
        <w:t xml:space="preserve">Дополнения в Положение о закупке товаров, работ, услуг для нужд </w:t>
      </w:r>
      <w:r w:rsidR="00E263F3">
        <w:rPr>
          <w:sz w:val="28"/>
          <w:szCs w:val="28"/>
        </w:rPr>
        <w:t>муниципального автономного учреждения</w:t>
      </w:r>
      <w:r w:rsidR="00E263F3" w:rsidRPr="00E263F3">
        <w:rPr>
          <w:sz w:val="28"/>
          <w:szCs w:val="28"/>
        </w:rPr>
        <w:t xml:space="preserve"> культуры «</w:t>
      </w:r>
      <w:r w:rsidR="00421B42" w:rsidRPr="00421B42">
        <w:rPr>
          <w:sz w:val="28"/>
          <w:szCs w:val="28"/>
        </w:rPr>
        <w:t>Межпоселенческий культурно-просветительский центр Киришского муниципального района</w:t>
      </w:r>
      <w:r w:rsidR="00E263F3" w:rsidRPr="00E263F3">
        <w:rPr>
          <w:sz w:val="28"/>
          <w:szCs w:val="28"/>
        </w:rPr>
        <w:t>»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643" w:rsidRPr="001A40CB" w:rsidRDefault="00F63643" w:rsidP="00F636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0CB" w:rsidRPr="001A40CB" w:rsidRDefault="00421B42" w:rsidP="001A40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Часть 33</w:t>
      </w:r>
      <w:r w:rsidR="001A40CB" w:rsidRPr="001A40CB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VII</w:t>
      </w:r>
      <w:r w:rsidR="001A40CB" w:rsidRPr="001A40C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FB0BBF">
        <w:rPr>
          <w:sz w:val="28"/>
          <w:szCs w:val="28"/>
        </w:rPr>
        <w:t xml:space="preserve"> «</w:t>
      </w:r>
      <w:r>
        <w:rPr>
          <w:sz w:val="28"/>
          <w:szCs w:val="28"/>
        </w:rPr>
        <w:t>1.3.2</w:t>
      </w:r>
      <w:r w:rsidR="00FB0BBF">
        <w:rPr>
          <w:sz w:val="28"/>
          <w:szCs w:val="28"/>
        </w:rPr>
        <w:t xml:space="preserve">. прямая закупка» </w:t>
      </w:r>
    </w:p>
    <w:p w:rsidR="00FB0BBF" w:rsidRPr="00FB0BBF" w:rsidRDefault="00FB0BBF" w:rsidP="00FB0B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BBF">
        <w:rPr>
          <w:sz w:val="28"/>
          <w:szCs w:val="28"/>
        </w:rPr>
        <w:t>Часть 33 раздела VII дополнить пунктом «</w:t>
      </w:r>
      <w:r>
        <w:rPr>
          <w:sz w:val="28"/>
          <w:szCs w:val="28"/>
        </w:rPr>
        <w:t xml:space="preserve">12. </w:t>
      </w:r>
      <w:r w:rsidRPr="00FB0BBF">
        <w:rPr>
          <w:sz w:val="28"/>
          <w:szCs w:val="28"/>
        </w:rPr>
        <w:t>Прямая закупка является неконкурентной закупкой и проводится в случаях, предусмотренных статьей 43.1 настоящего Положения</w:t>
      </w:r>
      <w:r>
        <w:rPr>
          <w:sz w:val="28"/>
          <w:szCs w:val="28"/>
        </w:rPr>
        <w:t>»</w:t>
      </w:r>
      <w:r w:rsidRPr="00FB0BBF">
        <w:rPr>
          <w:sz w:val="28"/>
          <w:szCs w:val="28"/>
        </w:rPr>
        <w:t>.</w:t>
      </w:r>
    </w:p>
    <w:p w:rsidR="00E62511" w:rsidRDefault="00E62511" w:rsidP="00E625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1 части 43 раздела </w:t>
      </w:r>
      <w:r w:rsidRPr="00E62511">
        <w:rPr>
          <w:sz w:val="28"/>
          <w:szCs w:val="28"/>
        </w:rPr>
        <w:t>VII</w:t>
      </w:r>
      <w:r>
        <w:rPr>
          <w:sz w:val="28"/>
          <w:szCs w:val="28"/>
        </w:rPr>
        <w:t xml:space="preserve"> изложить в новой редакции:</w:t>
      </w:r>
    </w:p>
    <w:p w:rsidR="00E62511" w:rsidRPr="00E62511" w:rsidRDefault="00E62511" w:rsidP="00E62511">
      <w:pPr>
        <w:ind w:left="123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62511">
        <w:rPr>
          <w:sz w:val="28"/>
          <w:szCs w:val="28"/>
        </w:rPr>
        <w:t xml:space="preserve">При закупке у единственного поставщика (подрядчика, исполнителя) документация закупки, в </w:t>
      </w:r>
      <w:proofErr w:type="spellStart"/>
      <w:r w:rsidRPr="00E62511">
        <w:rPr>
          <w:sz w:val="28"/>
          <w:szCs w:val="28"/>
        </w:rPr>
        <w:t>т.ч</w:t>
      </w:r>
      <w:proofErr w:type="spellEnd"/>
      <w:r w:rsidRPr="00E62511">
        <w:rPr>
          <w:sz w:val="28"/>
          <w:szCs w:val="28"/>
        </w:rPr>
        <w:t>. отдельное извещение не разрабатывается и не подлежит размещению. Заявки участников не принимаются и не рассматриваются.</w:t>
      </w:r>
    </w:p>
    <w:p w:rsidR="00FB0BBF" w:rsidRDefault="00E62511" w:rsidP="00E62511">
      <w:pPr>
        <w:ind w:left="1230"/>
        <w:rPr>
          <w:sz w:val="28"/>
          <w:szCs w:val="28"/>
        </w:rPr>
      </w:pPr>
      <w:r w:rsidRPr="00E62511">
        <w:rPr>
          <w:sz w:val="28"/>
          <w:szCs w:val="28"/>
        </w:rPr>
        <w:t>Не подлежат размещению на официальном сайте и сайте Заказчика сведения о закупке у единственного поставщика (подрядчика, исполнителя) на сумму менее 100 000 (ста тысяч) рублей</w:t>
      </w:r>
      <w:r>
        <w:rPr>
          <w:sz w:val="28"/>
          <w:szCs w:val="28"/>
        </w:rPr>
        <w:t>»</w:t>
      </w:r>
      <w:r w:rsidRPr="00E62511">
        <w:rPr>
          <w:sz w:val="28"/>
          <w:szCs w:val="28"/>
        </w:rPr>
        <w:t>.</w:t>
      </w:r>
    </w:p>
    <w:p w:rsidR="00E62511" w:rsidRPr="00E62511" w:rsidRDefault="00E62511" w:rsidP="00E625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2511">
        <w:rPr>
          <w:sz w:val="28"/>
          <w:szCs w:val="28"/>
        </w:rPr>
        <w:t>Пункт 4 части 43 раздела VII изложить в новой редакции: «возникновение в целях осуществления текущей деятельности Заказчика потребности в определенных товарах (работах, услугах), стоимость которых не превышает 10000000 (десять миллионов) рублей (с НДС)</w:t>
      </w:r>
      <w:r>
        <w:rPr>
          <w:sz w:val="28"/>
          <w:szCs w:val="28"/>
        </w:rPr>
        <w:t>».</w:t>
      </w:r>
    </w:p>
    <w:p w:rsidR="00E62511" w:rsidRPr="00E62511" w:rsidRDefault="001A40CB" w:rsidP="00E62511">
      <w:pPr>
        <w:numPr>
          <w:ilvl w:val="0"/>
          <w:numId w:val="1"/>
        </w:numPr>
      </w:pPr>
      <w:r w:rsidRPr="001A40CB">
        <w:rPr>
          <w:sz w:val="28"/>
          <w:szCs w:val="28"/>
        </w:rPr>
        <w:t xml:space="preserve">Дополнить </w:t>
      </w:r>
      <w:r w:rsidR="00E62511" w:rsidRPr="00E62511">
        <w:rPr>
          <w:sz w:val="28"/>
          <w:szCs w:val="28"/>
        </w:rPr>
        <w:t xml:space="preserve">раздела </w:t>
      </w:r>
      <w:proofErr w:type="gramStart"/>
      <w:r w:rsidR="00E62511" w:rsidRPr="00E62511">
        <w:rPr>
          <w:sz w:val="28"/>
          <w:szCs w:val="28"/>
        </w:rPr>
        <w:t xml:space="preserve">VII </w:t>
      </w:r>
      <w:r w:rsidR="00E62511">
        <w:rPr>
          <w:sz w:val="28"/>
          <w:szCs w:val="28"/>
        </w:rPr>
        <w:t xml:space="preserve"> частью</w:t>
      </w:r>
      <w:proofErr w:type="gramEnd"/>
      <w:r w:rsidR="00E62511">
        <w:rPr>
          <w:sz w:val="28"/>
          <w:szCs w:val="28"/>
        </w:rPr>
        <w:t xml:space="preserve"> 43.1:</w:t>
      </w:r>
    </w:p>
    <w:p w:rsidR="00E62511" w:rsidRPr="00E62511" w:rsidRDefault="00E62511" w:rsidP="00E62511">
      <w:pPr>
        <w:pStyle w:val="a3"/>
        <w:widowControl w:val="0"/>
        <w:numPr>
          <w:ilvl w:val="1"/>
          <w:numId w:val="3"/>
        </w:numPr>
        <w:tabs>
          <w:tab w:val="left" w:pos="1283"/>
        </w:tabs>
        <w:jc w:val="center"/>
        <w:rPr>
          <w:b/>
        </w:rPr>
      </w:pPr>
      <w:r>
        <w:rPr>
          <w:b/>
        </w:rPr>
        <w:t xml:space="preserve"> </w:t>
      </w:r>
      <w:r w:rsidRPr="00E62511">
        <w:rPr>
          <w:b/>
        </w:rPr>
        <w:t>Прямая закупка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1) При проведении прямых закупок Заказчик осуществляет маркетинговый анализ и сравнение предложений поставщиков, путем мониторинга цен, изучения и сравнительного анализа рекламных и информационных материалов.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2) При осуществлении прямой закупки цена договора устанавливается по соглашению сторон с учетом действующих цен и тарифов, подлежащих государственному регулированию, сметной или договорной стоимости продукции. Заказчик осуществляет проверку расчета тарифной, сметной или договорной стоимости на предмет соответствия рыночным ценам. Заявки участников не принимаются и не рассматриваются.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3) При прямой закупке размещению в единой информационной системе подлежит информация о закупке по форме единой информационной системы и протокол решения о прямых закупках на соответствующий период. Не разрабатывается и не подлежит размещению в единой информационной системе документация о прямой закупке на сумму менее 100 000 (Сто тысяч) рублей, включая НДС.</w:t>
      </w:r>
    </w:p>
    <w:p w:rsidR="00E62511" w:rsidRPr="00725C9B" w:rsidRDefault="00E62511" w:rsidP="00E62511">
      <w:pPr>
        <w:widowControl w:val="0"/>
        <w:tabs>
          <w:tab w:val="left" w:pos="1283"/>
        </w:tabs>
        <w:jc w:val="both"/>
      </w:pPr>
      <w:r w:rsidRPr="00725C9B">
        <w:t>4) Прямые закупки не включаются в соответствующие разделы отчетов по закупкам у единственного источника (поставщика, исполнителя, подрядчика).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5) Заказчик вправе на любом этапе отказать</w:t>
      </w:r>
      <w:bookmarkStart w:id="0" w:name="_GoBack"/>
      <w:bookmarkEnd w:id="0"/>
      <w:r>
        <w:t xml:space="preserve">ся от проведения прямой закупки, разместив </w:t>
      </w:r>
      <w:r>
        <w:lastRenderedPageBreak/>
        <w:t>соответствующее извещение об отмене проведения прямой закупки в ЕИС.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6) Прямые закупки могут осуществляться в следующих случаях: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стоимость закупки не превышает 10 000 000 (десять миллионов) рублей, включая НДС;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продукция закупается с использованием средств, предназначенных на представительские и командировочные расходы, обучение и повышение квалификации, информационно-консультационных услуг, в том числе оказываемых в рамках семинаров и конференций;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 xml:space="preserve">- закупка продукции в организациях розничной торговли из средств, выданных сотрудникам «под отчет» в соответствии с законодательством о бухгалтерском </w:t>
      </w:r>
      <w:proofErr w:type="gramStart"/>
      <w:r>
        <w:t>учете ;</w:t>
      </w:r>
      <w:proofErr w:type="gramEnd"/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закупка у субъектов хозяйственной деятельности, порядок продажи товаров, осуществления работ, оказания услуг которых регламентирован федеральным законодательством, такими как Федеральный закон «О нотариате», «О почтовой связи», «Об адвокатской деятельности и адвокатуре»;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заключении гражданско-правовых договоров на выполнение работ, оказание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закупка продукции, выполнение работ, необходимые для обеспечения непрерывности функционирования учреждения в соответствии с требованиями санитарно-эпидемиологической, противопожарной, антитеррористической безопасности учебного учреждения;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размещение заказа на оказание преподавательских услуг физическими и юридическими лицами;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проведении дополнительной закупки товаров, которые необходимы для обслуживания, ремонта и (или) обеспечения бесперебойной работы ранее приобретенных товаров, а также товаров, работ и услуг, которые связаны с обслуживанием и сопровождением ранее закупленных товаров (гарантийное и текущее обслуживание товара (работы, услуги)) и наличие иного поставщика (исполнителя, подрядчика) невозможно по условиям гарантии;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заключении договора с оператором электронной площадки;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заключении договора энергоснабжения или купли-продажи электрической энергии с гарантирующим поставщиком электрической энергии;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продлении ранее заключенного договора в порядке, установленном настоящим Положением, если такая возможность изначально предусматривалась в договоре либо целесообразно продолжение сотрудничества с данным поставщиком;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осуществлении закупки коммунальных услуг, услуг по техническому и санитарному содержанию, охране и обслуживанию одного или нескольких нежилых помещений Заказчика в здании, принадлежащем третьему лицу, с организациями, представляющими такие услуги, в случае, если отсутствует возможность заключения такого договора с другими лицами;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осуществлении закупки услуг у организаций, осуществляющих регистрацию, хостинг и иную деятельность, связанную с организацией функционирования доменных имен;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при возникновении потребности в товарах, работах, услугах для исполнения обязательств в соответствии с договором, по которому Заказчик является поставщиком (исполнителем, подрядчиком), и проведение конкурентных процедур закупок в предусмотренные сроки для исполнения обязательств по такому договору невозможно;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заключается договор на приобретение канцелярских принадлежностей;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заключается договор на оказание услуг по техническому обслуживанию и ремонту оргтехники Заказчика;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заключается договор на оказание услуг по техническому обслуживанию и ремонту автотранспорта Заказчика;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заключается договор на поставку сложного технического оборудования и комплектующих;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lastRenderedPageBreak/>
        <w:t>- заключается договор на поставку товара, выполнение работ, оказание услуг, когда на такие товары, работы, услуги действуют специальные цены в короткий период времени;</w:t>
      </w:r>
    </w:p>
    <w:p w:rsidR="00E62511" w:rsidRDefault="00E62511" w:rsidP="00E62511">
      <w:pPr>
        <w:widowControl w:val="0"/>
        <w:tabs>
          <w:tab w:val="left" w:pos="1283"/>
        </w:tabs>
        <w:jc w:val="both"/>
      </w:pPr>
      <w:r>
        <w:t>- проводятся дополнительные закупки, когда в целях стандартизации, унификации, а также для обеспечения совместимости товаров или преемственности работ, услуг с ранее приобретенными, новые закупки должны быть сделаны у того же поставщика;</w:t>
      </w:r>
    </w:p>
    <w:p w:rsidR="00E62511" w:rsidRPr="003870C2" w:rsidRDefault="00E62511" w:rsidP="00E62511">
      <w:pPr>
        <w:widowControl w:val="0"/>
        <w:tabs>
          <w:tab w:val="left" w:pos="1283"/>
        </w:tabs>
        <w:jc w:val="both"/>
      </w:pPr>
      <w:r>
        <w:t>- заключение договора на поставку полиграфической и печатной продукции.</w:t>
      </w:r>
    </w:p>
    <w:p w:rsidR="00E62511" w:rsidRDefault="00E62511" w:rsidP="00E62511">
      <w:pPr>
        <w:widowControl w:val="0"/>
        <w:tabs>
          <w:tab w:val="left" w:pos="1283"/>
        </w:tabs>
        <w:ind w:left="760"/>
        <w:jc w:val="both"/>
      </w:pPr>
    </w:p>
    <w:p w:rsidR="00E62511" w:rsidRDefault="00E62511" w:rsidP="00E62511">
      <w:pPr>
        <w:ind w:left="1230"/>
      </w:pPr>
    </w:p>
    <w:p w:rsidR="00D433D3" w:rsidRDefault="00D433D3" w:rsidP="00E263F3">
      <w:pPr>
        <w:jc w:val="both"/>
      </w:pPr>
    </w:p>
    <w:sectPr w:rsidR="00D433D3" w:rsidSect="00D4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75BA"/>
    <w:multiLevelType w:val="multilevel"/>
    <w:tmpl w:val="4AA068E2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76377EA4"/>
    <w:multiLevelType w:val="hybridMultilevel"/>
    <w:tmpl w:val="2A020056"/>
    <w:lvl w:ilvl="0" w:tplc="D8BEABB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778B6707"/>
    <w:multiLevelType w:val="multilevel"/>
    <w:tmpl w:val="06AC3A18"/>
    <w:lvl w:ilvl="0">
      <w:start w:val="3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3"/>
    <w:rsid w:val="000E47FE"/>
    <w:rsid w:val="001A40CB"/>
    <w:rsid w:val="003370DE"/>
    <w:rsid w:val="00421B42"/>
    <w:rsid w:val="005458D0"/>
    <w:rsid w:val="00725C9B"/>
    <w:rsid w:val="00954D0B"/>
    <w:rsid w:val="00982FE6"/>
    <w:rsid w:val="00B41894"/>
    <w:rsid w:val="00C14A37"/>
    <w:rsid w:val="00D433D3"/>
    <w:rsid w:val="00DC42EA"/>
    <w:rsid w:val="00E263F3"/>
    <w:rsid w:val="00E62511"/>
    <w:rsid w:val="00F400F6"/>
    <w:rsid w:val="00F63643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3E13-4DED-4CD5-AE49-FD1E3C5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TufiakovaVV</dc:creator>
  <cp:lastModifiedBy>Пользователь Windows</cp:lastModifiedBy>
  <cp:revision>8</cp:revision>
  <dcterms:created xsi:type="dcterms:W3CDTF">2017-05-30T12:58:00Z</dcterms:created>
  <dcterms:modified xsi:type="dcterms:W3CDTF">2019-04-30T13:26:00Z</dcterms:modified>
</cp:coreProperties>
</file>